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Half Term 1a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Independence, identity and community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First aid- CPR, AED’s, wounds and choking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Making healthy choices- cosmetic and plastic surgery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Making healthy choices- organ donation, vaccines and health clinics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Creating influences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Identity and mental health 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Gender norms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Gender identities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Adulting, self worth and celebrating success 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70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755"/>
            <w:gridCol w:w="1770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1F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Relationships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Marriage and civil partnership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Becoming a parent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Family relationships and value conflicts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Communication and vulnerability in relationships 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Abusive relationships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Making decisions about sex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Pregnancy </w:t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Half Term 2a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 - Wellbeing and relationships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Impact on attitudes and behaviour 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The potential damage on relationships from viewing explicit materials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Exploitation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Spiral of addiction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Pornography and the law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3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Term 2b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Body awareness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Connecting with yourself mindfully- stress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Connecting with yourself mindfully- self concept and motivation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Body image in media- pornography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Body image dangers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Parenthood and fertility- routes to parenthood, infertility and miscarriages 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Parenthood and fertility- choices in parenthood, pregnancy and birth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Wellbeing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Know your rights 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Online wellbeing 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Media influence and gangs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Media influence, radicalisation and extremism 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Conversations about mental health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 Mental wellbeing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D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E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Body awareness and wellbeing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Developing sexuality and readiness for sex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Privacy and consent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Sexual health and STI’s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What is addiction 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How addiction affects people 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Consequences of addiction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Seeking help for addiction </w:t>
            </w:r>
          </w:p>
          <w:p w:rsidR="00000000" w:rsidDel="00000000" w:rsidP="00000000" w:rsidRDefault="00000000" w:rsidRPr="00000000" w14:paraId="000000A8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9">
            <w:pPr>
              <w:spacing w:after="160" w:line="259" w:lineRule="auto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0A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English 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B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r w:rsidDel="00000000" w:rsidR="00000000" w:rsidRPr="00000000">
            <w:rPr>
              <w:rtl w:val="0"/>
            </w:rPr>
            <w:t xml:space="preserve">Sarah Hayes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B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PSHE KS4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-908037</wp:posOffset>
          </wp:positionH>
          <wp:positionV relativeFrom="paragraph">
            <wp:posOffset>-438774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21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-451474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22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+6SniFgeV0YB7lHa0+/Bs1DIw==">CgMxLjA4AHIhMXUtampZOWtMRUthT01KU3pkdTVYa3R2UXRKenJVQms1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2023-02-23T11:13:00Z</dcterms:created>
  <dc:creator>Sophie Sheppard</dc:creator>
</cp:coreProperties>
</file>